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50" w:rsidRDefault="001264C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Poznań, 15.08.2019 r.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1264C2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Opinia 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Programie nauczania języka niemieckiego dla klas 1-4 liceum ogólnokształcącego i klas 1-5 technikum (III etap edukacyjny)</w:t>
      </w:r>
    </w:p>
    <w:p w:rsidR="00C15350" w:rsidRDefault="001264C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autorstwa Pani Arletty Fischer-Król i Hanny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Podczaskiej-Tomal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5350" w:rsidRDefault="00C1535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350" w:rsidRDefault="001264C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Charakterystyka programu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1264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Przedstawiony do zaopiniowania program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nauczania języka niemieckiego dla klas 1-4 liceum ogólnokształcącego i klas 1-5 technikum (III etap edukacyjny)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autorstwa Arlety Fischer-Król i Hanny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Podczaskiej-Tomal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obejmuje III etap edukacyjny z możliwości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realizacji w grupach/klasach kontynuujących naukę języka niemieckiego po szkole podstawowej w liceum ogólnokształcącym lub technikum i odnosi się do dwóch wariantów podstawy programowej: </w:t>
      </w:r>
    </w:p>
    <w:p w:rsidR="00C15350" w:rsidRDefault="001264C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III.1.P -  podstawa przeznaczona dla uczniów kontynuujących naukę </w:t>
      </w:r>
      <w:r>
        <w:rPr>
          <w:rFonts w:ascii="Times New Roman" w:eastAsia="Times New Roman" w:hAnsi="Times New Roman" w:cs="Times New Roman"/>
          <w:sz w:val="24"/>
          <w:szCs w:val="24"/>
        </w:rPr>
        <w:t>języka niemieckiego jako pierwszego języka obcego po szkole podstawowej,</w:t>
      </w:r>
    </w:p>
    <w:p w:rsidR="00C15350" w:rsidRDefault="001264C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III.2. - podstawa przeznaczona dla uczniów kontynuujących naukę języka niemieckiego jako drugiego języka obcego nowożytnego po szkole podstawowej.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Opisanie sposobu realizacji dwóch wa</w:t>
      </w:r>
      <w:r>
        <w:rPr>
          <w:rFonts w:ascii="Times New Roman" w:eastAsia="Times New Roman" w:hAnsi="Times New Roman" w:cs="Times New Roman"/>
          <w:sz w:val="24"/>
          <w:szCs w:val="24"/>
        </w:rPr>
        <w:t>riantów podstawy programowej było możliwe dzięki przedstawieniu:</w:t>
      </w:r>
    </w:p>
    <w:p w:rsidR="00C15350" w:rsidRDefault="001264C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ogólnych i szczegółowych celów kształcenia</w:t>
      </w:r>
    </w:p>
    <w:p w:rsidR="00C15350" w:rsidRDefault="001264C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 gramatycznych</w:t>
      </w:r>
    </w:p>
    <w:p w:rsidR="00C15350" w:rsidRDefault="001264C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funkcji językowych 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rozbiciu na dwa wymienione warianty podstawy programowej III.1.P oraz III.2.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126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liczy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59 stron i składa się z następujących części:</w:t>
      </w:r>
    </w:p>
    <w:p w:rsidR="00C15350" w:rsidRDefault="001264C2" w:rsidP="005373D6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Charakterystyka programu</w:t>
      </w:r>
    </w:p>
    <w:p w:rsidR="00C15350" w:rsidRDefault="001264C2" w:rsidP="005373D6">
      <w:pPr>
        <w:pStyle w:val="normal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Cele kształcenia</w:t>
      </w:r>
    </w:p>
    <w:p w:rsidR="00C15350" w:rsidRDefault="001264C2" w:rsidP="005373D6">
      <w:pPr>
        <w:pStyle w:val="normal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Treści nauczania</w:t>
      </w:r>
    </w:p>
    <w:p w:rsidR="00C15350" w:rsidRDefault="001264C2" w:rsidP="005373D6">
      <w:pPr>
        <w:pStyle w:val="normal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Sposoby realizacji celów kształcenia</w:t>
      </w:r>
    </w:p>
    <w:p w:rsidR="00C15350" w:rsidRDefault="001264C2" w:rsidP="005373D6">
      <w:pPr>
        <w:pStyle w:val="normal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Standardy osiągnięć</w:t>
      </w:r>
    </w:p>
    <w:p w:rsidR="00C15350" w:rsidRDefault="001264C2" w:rsidP="005373D6">
      <w:pPr>
        <w:pStyle w:val="normal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Sposoby kontroli i oceny osiągnięć ucznia</w:t>
      </w:r>
    </w:p>
    <w:p w:rsidR="00C15350" w:rsidRDefault="001264C2" w:rsidP="005373D6">
      <w:pPr>
        <w:pStyle w:val="normal"/>
        <w:numPr>
          <w:ilvl w:val="0"/>
          <w:numId w:val="3"/>
        </w:numPr>
        <w:spacing w:after="24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Bibliografia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części pierwszej podano akty prawne na jakich opiera się niniejszy program. Są to:        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nowa </w:t>
      </w:r>
      <w:r>
        <w:rPr>
          <w:rFonts w:ascii="Times New Roman" w:eastAsia="Times New Roman" w:hAnsi="Times New Roman" w:cs="Times New Roman"/>
          <w:i/>
        </w:rPr>
        <w:t>Podstawa programowa kształcenia ogólnego</w:t>
      </w:r>
      <w:r>
        <w:rPr>
          <w:rFonts w:ascii="Times New Roman" w:eastAsia="Times New Roman" w:hAnsi="Times New Roman" w:cs="Times New Roman"/>
        </w:rPr>
        <w:t xml:space="preserve">, 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Europejski system opisu kształcenie językowego</w:t>
      </w:r>
      <w:r>
        <w:rPr>
          <w:rFonts w:ascii="Times New Roman" w:eastAsia="Times New Roman" w:hAnsi="Times New Roman" w:cs="Times New Roman"/>
          <w:i/>
        </w:rPr>
        <w:t xml:space="preserve">: uczenie się, nauczanie, ocenianie, 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- Załącznik z dnia 17 stycznia 2018 roku do wniosku dotyczącego zalecenie Rady w sprawie kompetencji kluczowych w procesie uczenia się przez całe życie.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części tej przedstawiono koncepcję programu podkreślając układ spiralny treści nauczania, a także rol</w:t>
      </w:r>
      <w:r>
        <w:rPr>
          <w:rFonts w:ascii="Times New Roman" w:eastAsia="Times New Roman" w:hAnsi="Times New Roman" w:cs="Times New Roman"/>
          <w:sz w:val="24"/>
          <w:szCs w:val="24"/>
        </w:rPr>
        <w:t>ę podejścia komunikacyjnego w nauczaniu języka niemieckiego. Autorki przedstawiają sposoby realizacji założonych celów, które zostały szczegółowo omówione w poszczególnych rozdziałach programu. Charakteryzują również adresata programu określając kompetencj</w:t>
      </w:r>
      <w:r>
        <w:rPr>
          <w:rFonts w:ascii="Times New Roman" w:eastAsia="Times New Roman" w:hAnsi="Times New Roman" w:cs="Times New Roman"/>
          <w:sz w:val="24"/>
          <w:szCs w:val="24"/>
        </w:rPr>
        <w:t>e, które są niezbędne do wykonywania zawodu nauczyciela, w tym: kompetencje specjalistyczne, dydaktyczne i psychologiczne. Scharakteryzowano również uczniów, ich poziom zaawansowania językowego, dla nauczania których przeznaczony jest niniejszy program. Au</w:t>
      </w:r>
      <w:r>
        <w:rPr>
          <w:rFonts w:ascii="Times New Roman" w:eastAsia="Times New Roman" w:hAnsi="Times New Roman" w:cs="Times New Roman"/>
          <w:sz w:val="24"/>
          <w:szCs w:val="24"/>
        </w:rPr>
        <w:t>torki programu zwróciły uwagę i określiły warunki lokalowo-organizacyjne i wyposażenie sali lekcyjnej, które wymagane są do realizacji niniejszego programu.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druga programu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 kształcenia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zawiera wykaz celów ogólnych, szczegółowych oraz wychowawczyc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zgodnych z podstawą programową kształcenia ogólnego oraz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Europejskim Systemem Opisu Kształcenia Językowego</w:t>
      </w:r>
      <w:r>
        <w:rPr>
          <w:rFonts w:ascii="Times New Roman" w:eastAsia="Times New Roman" w:hAnsi="Times New Roman" w:cs="Times New Roman"/>
          <w:sz w:val="24"/>
          <w:szCs w:val="24"/>
        </w:rPr>
        <w:t>. W części tej autorki przedstawiły  cele ogólne kształcenia na III etapie edukacyjnym oraz najważniejsze umiejętności zdobywane przez ucznia w trak</w:t>
      </w:r>
      <w:r>
        <w:rPr>
          <w:rFonts w:ascii="Times New Roman" w:eastAsia="Times New Roman" w:hAnsi="Times New Roman" w:cs="Times New Roman"/>
          <w:sz w:val="24"/>
          <w:szCs w:val="24"/>
        </w:rPr>
        <w:t>cie kształcenia ogólnego na tym etapie. Wymagania ogólne nauczania języka obcego zostały podzielone na pięć części: znajomość środków językowych (wiedza), rozumienie wypowiedzi (recepcja), tworzenie wypowiedzi (produkcja), reagowanie na wypowiedzi (interak</w:t>
      </w:r>
      <w:r>
        <w:rPr>
          <w:rFonts w:ascii="Times New Roman" w:eastAsia="Times New Roman" w:hAnsi="Times New Roman" w:cs="Times New Roman"/>
          <w:sz w:val="24"/>
          <w:szCs w:val="24"/>
        </w:rPr>
        <w:t>cja), przetwarzanie wypowiedzi (mediacja). Wymagania szczegółowe stanowią rozwinięcie wymagań ogólnych. W części tej sprecyzowane zostały umiejętności, jakie uczeń powinien posiadać po zakończeniu nauki na III etapie edukacyjnym w zakresie znajomości środk</w:t>
      </w:r>
      <w:r>
        <w:rPr>
          <w:rFonts w:ascii="Times New Roman" w:eastAsia="Times New Roman" w:hAnsi="Times New Roman" w:cs="Times New Roman"/>
          <w:sz w:val="24"/>
          <w:szCs w:val="24"/>
        </w:rPr>
        <w:t>ów językowych, rozumienia ze słuchu i rozumienia tekstu pisanego, tworzenia wypowiedzi ustnej i pisemnej, reagowania językowego i przetwarzania tekstu. Zgodnie z podstawą programową kształcenia ogólnego, która koncentruje się na efektach kształcenia, a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procesie kształcenia, autorki szczegółowo opisały oczekiwane osiągnięcia uczniów na zakończenie III etapu edukacyjnego, zarówno na poziomie III.1.P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i na poziomie III.2. Obok szczegółowych celów kształcenia opiniowany program zawiera również cele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ólnowychowawcze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konieczne do realizacji na lekcji języka obcego. Autorki wskazały na rolę kompetencji interkulturowej, na którą składają się postawy przygotowujące ucznia do odpowiedzialnego funkcjonowania we współczesnym świecie. 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trzecia programu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awiera szczegółowy opis treści nauczania zgodnych z podstawą programową kształcenia ogólnego dla liceum ogólnokształcącego, technikum oraz branżowej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szkoły II stopnia. W części tej przedstawione zostały zakresy tematyczne wraz z treściami szczegółowymi, za</w:t>
      </w:r>
      <w:r>
        <w:rPr>
          <w:rFonts w:ascii="Times New Roman" w:eastAsia="Times New Roman" w:hAnsi="Times New Roman" w:cs="Times New Roman"/>
          <w:sz w:val="24"/>
          <w:szCs w:val="24"/>
        </w:rPr>
        <w:t>gadnienia gramatyczne, funkcje i środki językowe oraz treści interkulturowe dla III etapu edukacyjnego dla poziomu III.1.P i III.2.  Autorki podkreśliły, iż realizacja podanych treści nauczania gwarantuje opanowanie przez ucznia umiejętności językowych wła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ściwych dla poziomu odpowiednio: 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dla wariantu podstawy III.1.P - B1+ (B2 w zakresie rozumienia wypowiedzi) według EOSKJ,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- dla wariantu podstawy III.2. - A2+ według EOSKJ.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wykaz funkcji językowych i środków językowych wpłynie na rozwinięcie kompetencji komunikacyjnej ucznia, płynność wypowiedzi, a także umożliwi dobre przygotowanie ucznia do egzaminu matural</w:t>
      </w:r>
      <w:r>
        <w:rPr>
          <w:rFonts w:ascii="Times New Roman" w:eastAsia="Times New Roman" w:hAnsi="Times New Roman" w:cs="Times New Roman"/>
          <w:sz w:val="24"/>
          <w:szCs w:val="24"/>
        </w:rPr>
        <w:t>nego na poziomie podstawowym. Obok kompetencji komunikacyjnej istotną rolę w nauczaniu języka obcego odgrywa rozwijanie kompetencji kulturowej, w tym przekazywanie wiedzy o krajach niemieckiego obszaru językowego. W związku z tym częścią składową treści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prezentowanych w opiniowanym programie nauczania są treści kulturowe.   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Istotny element trzeciej części programu stanowią przykłady realizacji treści nauczania w podręczniku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 1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przykładzie rozdziału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części czwart</w:t>
      </w:r>
      <w:r>
        <w:rPr>
          <w:rFonts w:ascii="Times New Roman" w:eastAsia="Times New Roman" w:hAnsi="Times New Roman" w:cs="Times New Roman"/>
          <w:sz w:val="24"/>
          <w:szCs w:val="24"/>
        </w:rPr>
        <w:t>ej programu stanowiącej bazę metodyczną dla nauczyciela języka niemieckiego przedstawione zostały sposoby realizacji celów kształcenia, w tym: techniki pracy nad elementami języka, techniki nauczania sprawności receptywnych i produktywnych oraz metody akty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wizujące. Następne podrozdziały autorki poświęciły przygotowaniu ucznia do egzaminu maturalnego oraz autonomii ucznia. 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Autorki szczegółowo omówiły sposoby realizacji celów kształcenia poprzez zastosowanie na lekcji języka niemieckiego odpowiednich technik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metod nauczania. W niniejszym programie nauczania przedstawione zostały różnorodne techniki pracy na lekcji języka obcego, w tym: techniki pracy nad elementami języka w zakresie wymowy i intonacji, pisowni, słownictwa oraz gramatyki; techniki nauczania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sprawności receptywnych, w tym słuchania i czytania ze zrozumieniem oraz techniki nauczania sprawności produktywnych w zakresie mówienia i pisania. Przykładowe ćwiczenia z podręcznika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stanowią uzupełnienie wykazu przedstawionych technik naucza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nia. 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części czwartej programu autorki przedstawiły wykaz najczęściej stosowanych metod aktywizujących, takich jak burza mózgów, mapa pojęciowa, drama, stacje zadaniowe, projekty i inne, które mogą ułatwić nauczycielowi przygotowanie interesującej 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języka niemieckiego zgodnie z podejściem komunikacyjnym w nauczaniu języków obcych.  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Kolejny podrozdział opiniowanego programu poświęcony został przygotowaniu ucznia do egzaminu maturalnego z języka niemieckiego na poziomie podstawowym zgodnie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obowiązującymi od roku 2023. W części tej zamieszczone zostały zadania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podręcznika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już od klasy pierwszej mają przygotowywać ucznia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matury z języka niemieckiego.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następnym podrozdziale części czwartej dotyczącej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autonomii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przedstawiono przykładowe techniki sprzyjające rozwijaniu autonomicznych zachowań ucznia. Autorki podały przykłady ćwiczeń w ramach pracy z zastosowaniem technologii informacyjnej oraz ćwiczenia do pracy ze słownikiem. Szczegółowo omówiły techniki i strat</w:t>
      </w:r>
      <w:r>
        <w:rPr>
          <w:rFonts w:ascii="Times New Roman" w:eastAsia="Times New Roman" w:hAnsi="Times New Roman" w:cs="Times New Roman"/>
          <w:sz w:val="24"/>
          <w:szCs w:val="24"/>
        </w:rPr>
        <w:t>egie uczenia się, które uczniowie mogą wykorzystać w czasie lekcji oraz w samodzielnej pracy pozaszkolnej. Działania mające na celu rozwijanie autonomii ucznia są zgodne z nową podstawą programową kształcenia ogólnego.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Przykładowe scenariusze lekcji do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ręcznika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uwzględniające poszczególne fazy lekcji stanowią pomoc dla nauczyciela w uporządkowaniu materiału lekcyjnego i przygotowaniu lekcji języka niemieckiego. 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piąta programu poświęcona została standardom osiągnięć, a część szósta  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osobom kontroli i oceny osiągnięć uczniów. Autorki programu zwróciły uwagę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informacyjną i motywującą funkcję oceniania. W części tej przedstawiono system kontroli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oceny opanowania wszystkich sprawności językowych, w tym rozumienia ze słuchu, rozumieni</w:t>
      </w:r>
      <w:r>
        <w:rPr>
          <w:rFonts w:ascii="Times New Roman" w:eastAsia="Times New Roman" w:hAnsi="Times New Roman" w:cs="Times New Roman"/>
          <w:sz w:val="24"/>
          <w:szCs w:val="24"/>
        </w:rPr>
        <w:t>a tekstu pisanego, mówienia i pisania oraz znajomości gramatyki i słownictwa. Autorki przedstawiły wymagania na poszczególne oceny. Załącznikiem do tej części progr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amu są przykładowe kartkówki i </w:t>
      </w:r>
      <w:r>
        <w:rPr>
          <w:rFonts w:ascii="Times New Roman" w:eastAsia="Times New Roman" w:hAnsi="Times New Roman" w:cs="Times New Roman"/>
          <w:sz w:val="24"/>
          <w:szCs w:val="24"/>
        </w:rPr>
        <w:t>testy z języka niemieckiego do podręcznika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373D6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plus1.</w:t>
      </w:r>
    </w:p>
    <w:p w:rsidR="00C15350" w:rsidRDefault="001264C2">
      <w:pPr>
        <w:pStyle w:val="normal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rki zwróciły uwagę na wdrażanie do samooceny, jako że jest to ważny element samokontroli ucznia, która dotyczyć może zarówno zdobytej w trakcie nauki wiedzy, jak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opanowania poszczególnych umiejętności językowych. Autorki proponują różnorodne formy samooc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eny ucznia: kwestionariusze przygotowane przez nauczyciela na podstawie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przykładów zamieszczonych w Europejskim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Językowym (poziomy A1, A2, B1); ćwiczenia zawarte w części podsumowującej każdy rozdział książki ćwiczeń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Już teraz umiem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test czt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erech sprawności językowych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Zwischenstation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podręcznika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plus 1.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Ocena zgodności z podstawą programową i innymi dokumentami prawa oświatowego</w:t>
      </w:r>
    </w:p>
    <w:p w:rsidR="00C15350" w:rsidRDefault="001264C2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Przedstawiony do zaopiniowania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Program nauczania języka niemieckiego dla klas 1-4 liceum ogólnokształcącego i klas 1-5 technikum (III etap edukacyjny)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autorstwa Arlety Fischer-Król i Hanny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Podczaskiej-Tomal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spełnia wymagania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definicji programu </w:t>
      </w:r>
      <w:r>
        <w:rPr>
          <w:rFonts w:ascii="Times New Roman" w:eastAsia="Times New Roman" w:hAnsi="Times New Roman" w:cs="Times New Roman"/>
          <w:sz w:val="24"/>
          <w:szCs w:val="24"/>
        </w:rPr>
        <w:t>określone w Ustawie o systemie oświaty i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godnie z zapisami art.3 pkt. 13b stanowi opis sposobu realizacji celów wychowania i kształcenia oraz treści nauczania ustalonych w podstawie programowej kształcenia ogólnego.  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poddano ocenie zgodności z obowiązującymi aktami prawnymi i nie stwierd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zono uchybień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do: </w:t>
      </w:r>
    </w:p>
    <w:p w:rsidR="00C15350" w:rsidRDefault="001264C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7 września 1991 r. o systemie oświaty, z późniejszymi zmianami </w:t>
      </w:r>
    </w:p>
    <w:p w:rsidR="00C15350" w:rsidRDefault="001264C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Ustawy prawo oświatowe z dnia 14 grudnia 2016 r., z późniejszymi zmianami </w:t>
      </w:r>
    </w:p>
    <w:p w:rsidR="00C15350" w:rsidRDefault="001264C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 Ministra Edukacji Narodowej z dnia 30 stycznia 2018 r. w sprawie podstawy programowej kształcenia ogólnego dla liceum ogólnokształcącego, technikum oraz szkoły branżowej II stopnia.</w:t>
      </w:r>
    </w:p>
    <w:p w:rsidR="00C15350" w:rsidRDefault="001264C2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Atuty programu:</w:t>
      </w:r>
    </w:p>
    <w:p w:rsidR="00C15350" w:rsidRDefault="001264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przedłożony do zaopiniowania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 nauc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zania języka niemieckiego dla klas 1-4 liceum ogólnokształcącego i klas 1-5 technikum (III etap edukacyjny</w:t>
      </w:r>
      <w:r w:rsidR="005373D6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autorstwa Pani Arletty Fischer-Król i Hanny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Podczaskiej-Tomal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zakłada spiralny układ treści nauczania, co z całą pewnością przyczynia się do większej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efektywności nauczania. Zdecydowanie pozytywnie oceniam dokładne przedstawienie sposobu osiągania celów, metod i technik pracy z uczniem oraz podanie przykładów ćwiczeń, jak również pełnych scenariuszy lekcji, które pomogą nauczycielowi w uporządkowaniu m</w:t>
      </w:r>
      <w:r>
        <w:rPr>
          <w:rFonts w:ascii="Times New Roman" w:eastAsia="Times New Roman" w:hAnsi="Times New Roman" w:cs="Times New Roman"/>
          <w:sz w:val="24"/>
          <w:szCs w:val="24"/>
        </w:rPr>
        <w:t>ateriału lekcyjnego i stanowią propozycję metod oraz technik pracy do wykorzystania na zajęciach lekcyjnych. Autorki proponują atrakcyjne formy pracy z uczniem ze zwróceniem dużej uwagi na metodę komunikacyjną oraz techniki sprzyjające aktywności własnej u</w:t>
      </w:r>
      <w:r>
        <w:rPr>
          <w:rFonts w:ascii="Times New Roman" w:eastAsia="Times New Roman" w:hAnsi="Times New Roman" w:cs="Times New Roman"/>
          <w:sz w:val="24"/>
          <w:szCs w:val="24"/>
        </w:rPr>
        <w:t>czącego się i rozwojowi jego autonomii. Program zawiera odniesienia do zadań szkoły na trzecim etapie edukacyjnym i postulatu kształtowania wybranych kompetencji kluczowych.</w:t>
      </w:r>
    </w:p>
    <w:p w:rsidR="00C15350" w:rsidRDefault="00C15350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C15350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1264C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poprawności merytorycznej i językowej: </w:t>
      </w:r>
    </w:p>
    <w:p w:rsidR="00C15350" w:rsidRDefault="001264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elementy opracowanego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ogramu są poprawne pod względem merytorycznym i językowym. Autorki posługują się odpowiednią terminologią i językiem przedmiotu.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Niniejszy program posiada przejrzystą i spójną strukturę. </w:t>
      </w:r>
      <w:r w:rsidR="005373D6" w:rsidRPr="0056526B">
        <w:rPr>
          <w:rFonts w:ascii="Times New Roman" w:hAnsi="Times New Roman" w:cs="Times New Roman"/>
        </w:rPr>
        <w:t>Procedury osiągania zamierzonych  celów są  jasne i konkretne.</w:t>
      </w:r>
    </w:p>
    <w:p w:rsidR="00C15350" w:rsidRDefault="005373D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 nauczania języka niemieckiego dla klas 1-4 liceum ogólnokształcącego i klas 1-5 technikum (III etap edukacyjny)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64C2">
        <w:rPr>
          <w:rFonts w:ascii="Times New Roman" w:eastAsia="Times New Roman" w:hAnsi="Times New Roman" w:cs="Times New Roman"/>
          <w:b/>
          <w:sz w:val="24"/>
          <w:szCs w:val="24"/>
        </w:rPr>
        <w:t>autorstwa Pani Arletty Fischer</w:t>
      </w:r>
      <w:r w:rsidR="001264C2">
        <w:rPr>
          <w:rFonts w:ascii="Times New Roman" w:eastAsia="Times New Roman" w:hAnsi="Times New Roman" w:cs="Times New Roman"/>
          <w:b/>
          <w:sz w:val="24"/>
          <w:szCs w:val="24"/>
        </w:rPr>
        <w:t xml:space="preserve">-Król i Hanny </w:t>
      </w:r>
      <w:proofErr w:type="spellStart"/>
      <w:r w:rsidR="001264C2">
        <w:rPr>
          <w:rFonts w:ascii="Times New Roman" w:eastAsia="Times New Roman" w:hAnsi="Times New Roman" w:cs="Times New Roman"/>
          <w:b/>
          <w:sz w:val="24"/>
          <w:szCs w:val="24"/>
        </w:rPr>
        <w:t>Podczaskiej-Tomal</w:t>
      </w:r>
      <w:proofErr w:type="spellEnd"/>
      <w:r w:rsidR="001264C2">
        <w:rPr>
          <w:rFonts w:ascii="Times New Roman" w:eastAsia="Times New Roman" w:hAnsi="Times New Roman" w:cs="Times New Roman"/>
          <w:b/>
          <w:sz w:val="24"/>
          <w:szCs w:val="24"/>
        </w:rPr>
        <w:t xml:space="preserve"> jest poprawny pod względem merytorycznym i konstrukcyjnym, zgodny z podstawą programową kształcenia ogólnego dla liceum ogólnokształcącego, technikum oraz branżowej szkoły II stopnia z zamieszczoną w Rozporządzeniu Ministra </w:t>
      </w:r>
      <w:r w:rsidR="001264C2">
        <w:rPr>
          <w:rFonts w:ascii="Times New Roman" w:eastAsia="Times New Roman" w:hAnsi="Times New Roman" w:cs="Times New Roman"/>
          <w:b/>
          <w:sz w:val="24"/>
          <w:szCs w:val="24"/>
        </w:rPr>
        <w:t xml:space="preserve">Edukacji Narodowej z dnia 30 stycznia 2018 r., uwzględnia potrzeby i możliwości uczniów, dla których jest przeznaczony, a zatem może zostać włączony do szkolnego zestawu programów nauczania i realizowany zarówno w czteroletnim liceum ogólnokształcącym jak </w:t>
      </w:r>
      <w:r w:rsidR="001264C2">
        <w:rPr>
          <w:rFonts w:ascii="Times New Roman" w:eastAsia="Times New Roman" w:hAnsi="Times New Roman" w:cs="Times New Roman"/>
          <w:b/>
          <w:sz w:val="24"/>
          <w:szCs w:val="24"/>
        </w:rPr>
        <w:t xml:space="preserve">i pięcioletnim technikum. 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373D6" w:rsidRDefault="005373D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C1535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1264C2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Recenzentka</w:t>
      </w:r>
      <w:r>
        <w:rPr>
          <w:rFonts w:ascii="Times New Roman" w:eastAsia="Times New Roman" w:hAnsi="Times New Roman" w:cs="Times New Roman"/>
          <w:sz w:val="24"/>
          <w:szCs w:val="24"/>
        </w:rPr>
        <w:t>: Małgorzata Kraśnik, absolwentka filologii rosyjskiej UAM w Poznaniu, filologii germańskiej WSP w Zielonej Górze, doktorantka Wydziału Neofilologii UAM w Poznaniu, nauczyciel dyplomowany, egzaminator egzaminu gimnaz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jalnego/ósmoklasisty oraz maturalnego z języka niemieckiego na poziomie podstawowym, rozszerzonym i dwujęzycznym, egzaminator egzaminu DSD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DSD II, współautorka programu nauczania języka niemieckiego dla uczniów gimnazjum dwujęzycznego (2005, 2009)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programu nauczania języka niemieckiego w klasie wstępnej liceum ogólnokształcącego (2019), autorka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Vademecum wiedzy o egzaminie maturalnym z języka niemieckiego od roku 2015, </w:t>
      </w:r>
      <w:r>
        <w:rPr>
          <w:rFonts w:ascii="Times New Roman" w:eastAsia="Times New Roman" w:hAnsi="Times New Roman" w:cs="Times New Roman"/>
          <w:sz w:val="24"/>
          <w:szCs w:val="24"/>
        </w:rPr>
        <w:t>pracowała przy współtworzeniu publikacji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INFOS 1A.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373D6" w:rsidRDefault="005373D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15350" w:rsidRDefault="001264C2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Uwagi recenzenta: </w:t>
      </w:r>
    </w:p>
    <w:p w:rsidR="00C15350" w:rsidRDefault="001264C2">
      <w:pPr>
        <w:pStyle w:val="normal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Warto był</w:t>
      </w:r>
      <w:r>
        <w:rPr>
          <w:rFonts w:ascii="Times New Roman" w:eastAsia="Times New Roman" w:hAnsi="Times New Roman" w:cs="Times New Roman"/>
        </w:rPr>
        <w:t xml:space="preserve">oby w przedłożonej publikacji podać stosowne rozporządzenie, na które autorki się powołują, ale którego nie nazywają, mianowicie: ROZPORZĄDZENIE MINISTRA EDUKACJI NARODOWEJ z dnia 30 stycznia 2018 r. w sprawie podstawy programowej kształcenia ogólnego dla </w:t>
      </w:r>
      <w:r>
        <w:rPr>
          <w:rFonts w:ascii="Times New Roman" w:eastAsia="Times New Roman" w:hAnsi="Times New Roman" w:cs="Times New Roman"/>
        </w:rPr>
        <w:t>liceum ogólnokształcącego, technikum oraz branżowej szkoły II stopnia.</w:t>
      </w:r>
    </w:p>
    <w:p w:rsidR="00C15350" w:rsidRDefault="001264C2">
      <w:pPr>
        <w:pStyle w:val="normal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1.str. 4 - akapit 4 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Program jest zgodny z Z</w:t>
      </w:r>
      <w:r>
        <w:rPr>
          <w:rFonts w:ascii="Times New Roman" w:eastAsia="Times New Roman" w:hAnsi="Times New Roman" w:cs="Times New Roman"/>
          <w:i/>
        </w:rPr>
        <w:t xml:space="preserve">ałącznikiem z dnia 17 stycznia 2018 roku do wniosku dotyczącego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zaleni</w:t>
      </w:r>
      <w:r>
        <w:rPr>
          <w:rFonts w:ascii="Times New Roman" w:eastAsia="Times New Roman" w:hAnsi="Times New Roman" w:cs="Times New Roman"/>
          <w:b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Rady w sprawie kompetencji kluczowych w procesie uczenia się przez całe życie, ...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powinno być: 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Program jest zgodny z Z</w:t>
      </w:r>
      <w:r>
        <w:rPr>
          <w:rFonts w:ascii="Times New Roman" w:eastAsia="Times New Roman" w:hAnsi="Times New Roman" w:cs="Times New Roman"/>
          <w:i/>
        </w:rPr>
        <w:t xml:space="preserve">ałącznikiem z dnia 17 stycznia 2018 roku do wniosku dotyczącego </w:t>
      </w:r>
      <w:r>
        <w:rPr>
          <w:rFonts w:ascii="Times New Roman" w:eastAsia="Times New Roman" w:hAnsi="Times New Roman" w:cs="Times New Roman"/>
          <w:b/>
          <w:i/>
          <w:u w:val="single"/>
        </w:rPr>
        <w:t>zalecenie</w:t>
      </w:r>
      <w:r>
        <w:rPr>
          <w:rFonts w:ascii="Times New Roman" w:eastAsia="Times New Roman" w:hAnsi="Times New Roman" w:cs="Times New Roman"/>
          <w:i/>
        </w:rPr>
        <w:t xml:space="preserve"> Rady w sprawie kompetencji kluczowych w procesie uczenia si</w:t>
      </w:r>
      <w:r>
        <w:rPr>
          <w:rFonts w:ascii="Times New Roman" w:eastAsia="Times New Roman" w:hAnsi="Times New Roman" w:cs="Times New Roman"/>
          <w:i/>
        </w:rPr>
        <w:t>ę przez całe życie, …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i/>
        </w:rPr>
      </w:pPr>
    </w:p>
    <w:p w:rsidR="00C15350" w:rsidRDefault="00C15350" w:rsidP="00313BBA">
      <w:pPr>
        <w:pStyle w:val="norma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</w:p>
    <w:p w:rsidR="00C15350" w:rsidRDefault="001264C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str.12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Byłoby dobrze ujednolicić zapis: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punkt 4 </w:t>
      </w:r>
      <w:r>
        <w:rPr>
          <w:rFonts w:ascii="Times New Roman" w:eastAsia="Times New Roman" w:hAnsi="Times New Roman" w:cs="Times New Roman"/>
          <w:b/>
        </w:rPr>
        <w:t>(krótkie*)</w:t>
      </w:r>
    </w:p>
    <w:p w:rsidR="00C15350" w:rsidRDefault="001264C2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punkt 5</w:t>
      </w:r>
      <w:r>
        <w:rPr>
          <w:rFonts w:ascii="Times New Roman" w:eastAsia="Times New Roman" w:hAnsi="Times New Roman" w:cs="Times New Roman"/>
          <w:b/>
        </w:rPr>
        <w:t xml:space="preserve"> (krótkie)* 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  <w:b/>
        </w:rPr>
      </w:pPr>
    </w:p>
    <w:p w:rsidR="00C15350" w:rsidRDefault="001264C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Byłoby dobrze wyjaśnić, co dla autorek oznacza znak *</w:t>
      </w:r>
    </w:p>
    <w:p w:rsidR="00C15350" w:rsidRDefault="00C15350">
      <w:pPr>
        <w:pStyle w:val="normal"/>
        <w:rPr>
          <w:rFonts w:ascii="Times New Roman" w:eastAsia="Times New Roman" w:hAnsi="Times New Roman" w:cs="Times New Roman"/>
        </w:rPr>
      </w:pPr>
    </w:p>
    <w:sectPr w:rsidR="00C15350" w:rsidSect="00C1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C2" w:rsidRDefault="001264C2" w:rsidP="005373D6">
      <w:pPr>
        <w:spacing w:line="240" w:lineRule="auto"/>
      </w:pPr>
      <w:r>
        <w:separator/>
      </w:r>
    </w:p>
  </w:endnote>
  <w:endnote w:type="continuationSeparator" w:id="0">
    <w:p w:rsidR="001264C2" w:rsidRDefault="001264C2" w:rsidP="005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6" w:rsidRDefault="005373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20349"/>
      <w:docPartObj>
        <w:docPartGallery w:val="Page Numbers (Bottom of Page)"/>
        <w:docPartUnique/>
      </w:docPartObj>
    </w:sdtPr>
    <w:sdtContent>
      <w:p w:rsidR="005373D6" w:rsidRDefault="005373D6">
        <w:pPr>
          <w:pStyle w:val="Stopka"/>
          <w:jc w:val="right"/>
        </w:pPr>
        <w:fldSimple w:instr=" PAGE   \* MERGEFORMAT ">
          <w:r w:rsidR="00313BBA">
            <w:rPr>
              <w:noProof/>
            </w:rPr>
            <w:t>6</w:t>
          </w:r>
        </w:fldSimple>
      </w:p>
    </w:sdtContent>
  </w:sdt>
  <w:p w:rsidR="005373D6" w:rsidRDefault="005373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6" w:rsidRDefault="00537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C2" w:rsidRDefault="001264C2" w:rsidP="005373D6">
      <w:pPr>
        <w:spacing w:line="240" w:lineRule="auto"/>
      </w:pPr>
      <w:r>
        <w:separator/>
      </w:r>
    </w:p>
  </w:footnote>
  <w:footnote w:type="continuationSeparator" w:id="0">
    <w:p w:rsidR="001264C2" w:rsidRDefault="001264C2" w:rsidP="005373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6" w:rsidRDefault="005373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6" w:rsidRDefault="005373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6" w:rsidRDefault="005373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CB4"/>
    <w:multiLevelType w:val="multilevel"/>
    <w:tmpl w:val="84183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A71000"/>
    <w:multiLevelType w:val="multilevel"/>
    <w:tmpl w:val="E2F69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6776AA"/>
    <w:multiLevelType w:val="multilevel"/>
    <w:tmpl w:val="33165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C067F33"/>
    <w:multiLevelType w:val="multilevel"/>
    <w:tmpl w:val="48AEB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C550F0F"/>
    <w:multiLevelType w:val="multilevel"/>
    <w:tmpl w:val="CB3C48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50FE74F2"/>
    <w:multiLevelType w:val="multilevel"/>
    <w:tmpl w:val="ACD26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350"/>
    <w:rsid w:val="001264C2"/>
    <w:rsid w:val="00313BBA"/>
    <w:rsid w:val="00353F12"/>
    <w:rsid w:val="005373D6"/>
    <w:rsid w:val="00C1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153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153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153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153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1535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153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15350"/>
  </w:style>
  <w:style w:type="table" w:customStyle="1" w:styleId="TableNormal">
    <w:name w:val="Table Normal"/>
    <w:rsid w:val="00C153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1535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1535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5373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3D6"/>
  </w:style>
  <w:style w:type="paragraph" w:styleId="Stopka">
    <w:name w:val="footer"/>
    <w:basedOn w:val="Normalny"/>
    <w:link w:val="StopkaZnak"/>
    <w:uiPriority w:val="99"/>
    <w:unhideWhenUsed/>
    <w:rsid w:val="005373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3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6AA1-5B7D-4FF3-9DDA-97CC5CEE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2016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2019-08-19T22:15:00Z</dcterms:created>
  <dcterms:modified xsi:type="dcterms:W3CDTF">2019-08-19T22:27:00Z</dcterms:modified>
</cp:coreProperties>
</file>